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402"/>
        <w:gridCol w:w="284"/>
        <w:gridCol w:w="5670"/>
        <w:gridCol w:w="142"/>
      </w:tblGrid>
      <w:tr w:rsidR="00E43FB0" w:rsidTr="00E43FB0">
        <w:trPr>
          <w:gridAfter w:val="1"/>
          <w:wAfter w:w="142" w:type="dxa"/>
        </w:trPr>
        <w:tc>
          <w:tcPr>
            <w:tcW w:w="4112" w:type="dxa"/>
            <w:gridSpan w:val="3"/>
          </w:tcPr>
          <w:p w:rsidR="00E43FB0" w:rsidRPr="00AF6951" w:rsidRDefault="00E43FB0" w:rsidP="0002539C">
            <w:pPr>
              <w:jc w:val="center"/>
              <w:rPr>
                <w:bCs/>
                <w:sz w:val="24"/>
                <w:szCs w:val="24"/>
              </w:rPr>
            </w:pPr>
            <w:bookmarkStart w:id="0" w:name="_GoBack"/>
            <w:bookmarkEnd w:id="0"/>
            <w:r w:rsidRPr="00AF6951">
              <w:rPr>
                <w:bCs/>
                <w:sz w:val="24"/>
                <w:szCs w:val="24"/>
              </w:rPr>
              <w:t>ỦY BAN NHÂN DÂN</w:t>
            </w:r>
          </w:p>
          <w:p w:rsidR="00E43FB0" w:rsidRPr="00AF6951" w:rsidRDefault="00E43FB0" w:rsidP="0002539C">
            <w:pPr>
              <w:jc w:val="center"/>
              <w:rPr>
                <w:bCs/>
                <w:sz w:val="24"/>
                <w:szCs w:val="24"/>
              </w:rPr>
            </w:pPr>
            <w:r w:rsidRPr="00AF6951">
              <w:rPr>
                <w:bCs/>
                <w:sz w:val="24"/>
                <w:szCs w:val="24"/>
              </w:rPr>
              <w:t>THÀNH PHỐ HÀ NỘI</w:t>
            </w:r>
          </w:p>
          <w:p w:rsidR="00E43FB0" w:rsidRDefault="00E43FB0" w:rsidP="0002539C">
            <w:pPr>
              <w:jc w:val="center"/>
              <w:rPr>
                <w:b/>
                <w:bCs/>
                <w:sz w:val="24"/>
                <w:szCs w:val="24"/>
              </w:rPr>
            </w:pPr>
            <w:r>
              <w:rPr>
                <w:b/>
                <w:bCs/>
                <w:sz w:val="24"/>
                <w:szCs w:val="24"/>
              </w:rPr>
              <w:t>SỞ KHOA HỌC VÀ CÔNG NGHỆ</w:t>
            </w:r>
          </w:p>
          <w:p w:rsidR="00E43FB0" w:rsidRDefault="00E43FB0" w:rsidP="0002539C">
            <w:pPr>
              <w:rPr>
                <w:b/>
                <w:bCs/>
                <w:sz w:val="24"/>
                <w:szCs w:val="24"/>
              </w:rPr>
            </w:pPr>
            <w:r>
              <w:rPr>
                <w:rFonts w:asciiTheme="minorHAnsi" w:hAnsiTheme="minorHAnsi"/>
                <w:noProof/>
                <w:sz w:val="22"/>
              </w:rPr>
              <mc:AlternateContent>
                <mc:Choice Requires="wps">
                  <w:drawing>
                    <wp:anchor distT="4294967295" distB="4294967295" distL="114300" distR="114300" simplePos="0" relativeHeight="251663360" behindDoc="0" locked="0" layoutInCell="1" allowOverlap="1" wp14:anchorId="19FA67F3" wp14:editId="3672956B">
                      <wp:simplePos x="0" y="0"/>
                      <wp:positionH relativeFrom="column">
                        <wp:posOffset>232410</wp:posOffset>
                      </wp:positionH>
                      <wp:positionV relativeFrom="paragraph">
                        <wp:posOffset>34289</wp:posOffset>
                      </wp:positionV>
                      <wp:extent cx="14954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AF3D73" id="Straight Connector 2"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3pt,2.7pt" to="13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" strokecolor="#4472c4" strokeweight=".5pt">
                      <v:stroke joinstyle="miter"/>
                      <o:lock v:ext="edit" shapetype="f"/>
                    </v:line>
                  </w:pict>
                </mc:Fallback>
              </mc:AlternateContent>
            </w:r>
          </w:p>
        </w:tc>
        <w:tc>
          <w:tcPr>
            <w:tcW w:w="5670" w:type="dxa"/>
          </w:tcPr>
          <w:p w:rsidR="00E43FB0" w:rsidRDefault="00E43FB0" w:rsidP="0002539C">
            <w:pPr>
              <w:jc w:val="center"/>
              <w:rPr>
                <w:b/>
                <w:bCs/>
                <w:sz w:val="24"/>
                <w:szCs w:val="24"/>
              </w:rPr>
            </w:pPr>
            <w:r>
              <w:rPr>
                <w:b/>
                <w:bCs/>
                <w:sz w:val="24"/>
                <w:szCs w:val="24"/>
              </w:rPr>
              <w:t>CỘNG HÒA XÃ HỘI CHỦ NGHĨA VIỆT NAM</w:t>
            </w:r>
          </w:p>
          <w:p w:rsidR="00E43FB0" w:rsidRDefault="00E43FB0" w:rsidP="0002539C">
            <w:pPr>
              <w:jc w:val="center"/>
              <w:rPr>
                <w:b/>
                <w:bCs/>
                <w:sz w:val="24"/>
                <w:szCs w:val="24"/>
              </w:rPr>
            </w:pPr>
            <w:r>
              <w:rPr>
                <w:b/>
                <w:bCs/>
                <w:sz w:val="24"/>
                <w:szCs w:val="24"/>
              </w:rPr>
              <w:t>Độc lập - Tự do - Hạnh phúc</w:t>
            </w:r>
          </w:p>
          <w:p w:rsidR="00E43FB0" w:rsidRDefault="00E43FB0" w:rsidP="0002539C">
            <w:pPr>
              <w:jc w:val="center"/>
              <w:rPr>
                <w:b/>
                <w:bCs/>
                <w:sz w:val="24"/>
                <w:szCs w:val="24"/>
              </w:rPr>
            </w:pPr>
            <w:r>
              <w:rPr>
                <w:b/>
                <w:bCs/>
                <w:noProof/>
                <w:sz w:val="24"/>
                <w:szCs w:val="24"/>
              </w:rPr>
              <mc:AlternateContent>
                <mc:Choice Requires="wps">
                  <w:drawing>
                    <wp:anchor distT="4294967295" distB="4294967295" distL="114300" distR="114300" simplePos="0" relativeHeight="251662336" behindDoc="0" locked="0" layoutInCell="1" allowOverlap="1" wp14:anchorId="64DAEFED" wp14:editId="3E3350EE">
                      <wp:simplePos x="0" y="0"/>
                      <wp:positionH relativeFrom="column">
                        <wp:posOffset>1183640</wp:posOffset>
                      </wp:positionH>
                      <wp:positionV relativeFrom="paragraph">
                        <wp:posOffset>53339</wp:posOffset>
                      </wp:positionV>
                      <wp:extent cx="14954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95F4CB"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3.2pt,4.2pt" to="210.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" strokecolor="#4472c4" strokeweight=".5pt">
                      <v:stroke joinstyle="miter"/>
                      <o:lock v:ext="edit" shapetype="f"/>
                    </v:line>
                  </w:pict>
                </mc:Fallback>
              </mc:AlternateContent>
            </w:r>
          </w:p>
        </w:tc>
      </w:tr>
      <w:tr w:rsidR="001334E9" w:rsidTr="00E43FB0">
        <w:trPr>
          <w:gridBefore w:val="1"/>
          <w:wBefore w:w="426" w:type="dxa"/>
        </w:trPr>
        <w:tc>
          <w:tcPr>
            <w:tcW w:w="3402" w:type="dxa"/>
          </w:tcPr>
          <w:p w:rsidR="001334E9" w:rsidRDefault="001334E9" w:rsidP="003655E2">
            <w:pPr>
              <w:jc w:val="center"/>
              <w:rPr>
                <w:sz w:val="26"/>
                <w:szCs w:val="26"/>
              </w:rPr>
            </w:pPr>
          </w:p>
        </w:tc>
        <w:tc>
          <w:tcPr>
            <w:tcW w:w="6096" w:type="dxa"/>
            <w:gridSpan w:val="3"/>
          </w:tcPr>
          <w:p w:rsidR="001334E9" w:rsidRDefault="001334E9" w:rsidP="003655E2">
            <w:pPr>
              <w:jc w:val="center"/>
              <w:rPr>
                <w:i/>
                <w:iCs/>
                <w:sz w:val="26"/>
                <w:szCs w:val="26"/>
              </w:rPr>
            </w:pPr>
            <w:r>
              <w:rPr>
                <w:i/>
                <w:iCs/>
                <w:sz w:val="26"/>
                <w:szCs w:val="26"/>
              </w:rPr>
              <w:t>Hà Nội, ngày … tháng … năm 2026</w:t>
            </w:r>
          </w:p>
        </w:tc>
      </w:tr>
    </w:tbl>
    <w:p w:rsidR="001334E9" w:rsidRDefault="001334E9" w:rsidP="001334E9">
      <w:pPr>
        <w:spacing w:before="120" w:after="0" w:line="288" w:lineRule="auto"/>
        <w:jc w:val="both"/>
        <w:outlineLvl w:val="0"/>
        <w:rPr>
          <w:rFonts w:eastAsia="Times New Roman" w:cs="Times New Roman"/>
          <w:b/>
          <w:bCs/>
          <w:kern w:val="36"/>
          <w:szCs w:val="28"/>
        </w:rPr>
      </w:pPr>
    </w:p>
    <w:p w:rsidR="00631E8A" w:rsidRDefault="0058188D" w:rsidP="00631E8A">
      <w:pPr>
        <w:spacing w:after="0" w:line="240" w:lineRule="auto"/>
        <w:jc w:val="center"/>
        <w:outlineLvl w:val="0"/>
        <w:rPr>
          <w:rFonts w:eastAsia="Times New Roman" w:cs="Times New Roman"/>
          <w:b/>
          <w:bCs/>
          <w:kern w:val="36"/>
          <w:szCs w:val="28"/>
        </w:rPr>
      </w:pPr>
      <w:r w:rsidRPr="0058188D">
        <w:rPr>
          <w:rFonts w:eastAsia="Times New Roman" w:cs="Times New Roman"/>
          <w:b/>
          <w:bCs/>
          <w:kern w:val="36"/>
          <w:szCs w:val="28"/>
        </w:rPr>
        <w:t xml:space="preserve">BẢN THUYẾT MINH VÀ SO SÁNH NỘI DUNG </w:t>
      </w:r>
    </w:p>
    <w:p w:rsidR="0058188D" w:rsidRPr="0058188D" w:rsidRDefault="0058188D" w:rsidP="00631E8A">
      <w:pPr>
        <w:spacing w:after="0" w:line="240" w:lineRule="auto"/>
        <w:jc w:val="center"/>
        <w:outlineLvl w:val="0"/>
        <w:rPr>
          <w:rFonts w:eastAsia="Times New Roman" w:cs="Times New Roman"/>
          <w:b/>
          <w:bCs/>
          <w:kern w:val="36"/>
          <w:szCs w:val="28"/>
        </w:rPr>
      </w:pPr>
      <w:r w:rsidRPr="0058188D">
        <w:rPr>
          <w:rFonts w:eastAsia="Times New Roman" w:cs="Times New Roman"/>
          <w:b/>
          <w:bCs/>
          <w:kern w:val="36"/>
          <w:szCs w:val="28"/>
        </w:rPr>
        <w:t>DỰ THẢO QUYẾT ĐỊNH</w:t>
      </w:r>
    </w:p>
    <w:p w:rsidR="0058188D" w:rsidRPr="0058188D" w:rsidRDefault="0058188D" w:rsidP="00631E8A">
      <w:pPr>
        <w:spacing w:before="100" w:beforeAutospacing="1" w:after="100" w:afterAutospacing="1" w:line="240" w:lineRule="auto"/>
        <w:jc w:val="center"/>
        <w:rPr>
          <w:rFonts w:eastAsia="Times New Roman" w:cs="Times New Roman"/>
          <w:szCs w:val="28"/>
        </w:rPr>
      </w:pPr>
      <w:r w:rsidRPr="0058188D">
        <w:rPr>
          <w:rFonts w:eastAsia="Times New Roman" w:cs="Times New Roman"/>
          <w:b/>
          <w:bCs/>
          <w:szCs w:val="28"/>
        </w:rPr>
        <w:t>Ban hành Quy định khoán chi trong thực hiện nhiệm vụ khoa học, công nghệ và đổi mới sáng tạo có sử dụng ngân sách thành phố Hà Nội</w:t>
      </w:r>
    </w:p>
    <w:p w:rsidR="0058188D" w:rsidRPr="0058188D" w:rsidRDefault="0058188D" w:rsidP="0058188D">
      <w:pPr>
        <w:spacing w:before="100" w:beforeAutospacing="1" w:after="100" w:afterAutospacing="1" w:line="240" w:lineRule="auto"/>
        <w:outlineLvl w:val="1"/>
        <w:rPr>
          <w:rFonts w:eastAsia="Times New Roman" w:cs="Times New Roman"/>
          <w:b/>
          <w:bCs/>
          <w:szCs w:val="28"/>
        </w:rPr>
      </w:pPr>
      <w:r w:rsidRPr="0058188D">
        <w:rPr>
          <w:rFonts w:eastAsia="Times New Roman" w:cs="Times New Roman"/>
          <w:b/>
          <w:bCs/>
          <w:szCs w:val="28"/>
        </w:rPr>
        <w:t>I. CĂN CỨ XÂY DỰNG DỰ THẢO</w:t>
      </w:r>
    </w:p>
    <w:p w:rsidR="0058188D" w:rsidRPr="0058188D" w:rsidRDefault="0058188D" w:rsidP="005C2518">
      <w:pPr>
        <w:spacing w:before="100" w:beforeAutospacing="1" w:after="100" w:afterAutospacing="1" w:line="240" w:lineRule="auto"/>
        <w:ind w:firstLine="360"/>
        <w:jc w:val="both"/>
        <w:rPr>
          <w:rFonts w:eastAsia="Times New Roman" w:cs="Times New Roman"/>
          <w:szCs w:val="28"/>
        </w:rPr>
      </w:pPr>
      <w:r w:rsidRPr="0058188D">
        <w:rPr>
          <w:rFonts w:eastAsia="Times New Roman" w:cs="Times New Roman"/>
          <w:szCs w:val="28"/>
        </w:rPr>
        <w:t>Dự thảo Quyết định được xây dựng trên cơ sở:</w:t>
      </w:r>
    </w:p>
    <w:p w:rsidR="0058188D" w:rsidRPr="0058188D" w:rsidRDefault="005C2518" w:rsidP="005C2518">
      <w:pPr>
        <w:spacing w:before="120" w:after="0" w:line="264" w:lineRule="auto"/>
        <w:ind w:firstLine="357"/>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Luật Khoa học, công nghệ và đổi mới sáng tạo năm 2025;</w:t>
      </w:r>
    </w:p>
    <w:p w:rsidR="0058188D" w:rsidRPr="0058188D" w:rsidRDefault="005C2518" w:rsidP="005C2518">
      <w:pPr>
        <w:spacing w:before="120" w:after="0" w:line="264" w:lineRule="auto"/>
        <w:ind w:firstLine="357"/>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Luật Ngân sách nhà nước năm 2025;</w:t>
      </w:r>
    </w:p>
    <w:p w:rsidR="0058188D" w:rsidRPr="0058188D" w:rsidRDefault="005C2518" w:rsidP="005C2518">
      <w:pPr>
        <w:spacing w:before="120" w:after="0" w:line="264" w:lineRule="auto"/>
        <w:ind w:firstLine="357"/>
        <w:jc w:val="both"/>
        <w:rPr>
          <w:rFonts w:eastAsia="Times New Roman" w:cs="Times New Roman"/>
          <w:szCs w:val="28"/>
        </w:rPr>
      </w:pPr>
      <w:r>
        <w:rPr>
          <w:rFonts w:eastAsia="Times New Roman" w:cs="Times New Roman"/>
          <w:szCs w:val="28"/>
        </w:rPr>
        <w:t xml:space="preserve">- </w:t>
      </w:r>
      <w:r w:rsidR="00631E8A">
        <w:rPr>
          <w:rFonts w:eastAsia="Times New Roman" w:cs="Times New Roman"/>
          <w:szCs w:val="28"/>
        </w:rPr>
        <w:t>Luật Thủ đô năm 2026</w:t>
      </w:r>
      <w:r w:rsidR="0058188D" w:rsidRPr="0058188D">
        <w:rPr>
          <w:rFonts w:eastAsia="Times New Roman" w:cs="Times New Roman"/>
          <w:szCs w:val="28"/>
        </w:rPr>
        <w:t>;</w:t>
      </w:r>
    </w:p>
    <w:p w:rsidR="0058188D" w:rsidRPr="0058188D" w:rsidRDefault="005C2518" w:rsidP="005C2518">
      <w:pPr>
        <w:spacing w:before="120" w:after="0" w:line="264" w:lineRule="auto"/>
        <w:ind w:firstLine="357"/>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Nghị định số 265/2025/NĐ-CP;</w:t>
      </w:r>
    </w:p>
    <w:p w:rsidR="0058188D" w:rsidRPr="0058188D" w:rsidRDefault="005C2518" w:rsidP="005C2518">
      <w:pPr>
        <w:spacing w:before="120" w:after="0" w:line="264" w:lineRule="auto"/>
        <w:ind w:firstLine="357"/>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Nghị định số 267/2025/NĐ-CP;</w:t>
      </w:r>
    </w:p>
    <w:p w:rsidR="0058188D" w:rsidRPr="0058188D" w:rsidRDefault="005C2518" w:rsidP="005C2518">
      <w:pPr>
        <w:spacing w:before="120" w:after="0" w:line="264" w:lineRule="auto"/>
        <w:ind w:firstLine="357"/>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Nghị định số 268/2025/NĐ-CP;</w:t>
      </w:r>
    </w:p>
    <w:p w:rsidR="0058188D" w:rsidRPr="0058188D" w:rsidRDefault="005C2518" w:rsidP="005C2518">
      <w:pPr>
        <w:spacing w:before="120" w:after="0" w:line="264" w:lineRule="auto"/>
        <w:ind w:firstLine="357"/>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Thông tư số 39/2025/TT-BKHCN;</w:t>
      </w:r>
    </w:p>
    <w:p w:rsidR="0058188D" w:rsidRPr="0058188D" w:rsidRDefault="005C2518" w:rsidP="005C2518">
      <w:pPr>
        <w:spacing w:before="120" w:after="0" w:line="264" w:lineRule="auto"/>
        <w:ind w:firstLine="357"/>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Nghị quyết số .../2026/NQ-HĐND của HĐND thành phố Hà Nội.</w:t>
      </w:r>
    </w:p>
    <w:p w:rsidR="0058188D" w:rsidRPr="0058188D" w:rsidRDefault="0058188D" w:rsidP="0058188D">
      <w:pPr>
        <w:spacing w:before="100" w:beforeAutospacing="1" w:after="100" w:afterAutospacing="1" w:line="240" w:lineRule="auto"/>
        <w:outlineLvl w:val="1"/>
        <w:rPr>
          <w:rFonts w:eastAsia="Times New Roman" w:cs="Times New Roman"/>
          <w:b/>
          <w:bCs/>
          <w:szCs w:val="28"/>
        </w:rPr>
      </w:pPr>
      <w:r w:rsidRPr="0058188D">
        <w:rPr>
          <w:rFonts w:eastAsia="Times New Roman" w:cs="Times New Roman"/>
          <w:b/>
          <w:bCs/>
          <w:szCs w:val="28"/>
        </w:rPr>
        <w:t>II. SỰ CẦN THIẾT BAN HÀNH</w:t>
      </w:r>
    </w:p>
    <w:p w:rsidR="0058188D" w:rsidRPr="0058188D" w:rsidRDefault="0058188D" w:rsidP="00031D11">
      <w:pPr>
        <w:spacing w:after="0" w:line="288" w:lineRule="auto"/>
        <w:ind w:firstLine="360"/>
        <w:jc w:val="both"/>
        <w:rPr>
          <w:rFonts w:eastAsia="Times New Roman" w:cs="Times New Roman"/>
          <w:szCs w:val="28"/>
        </w:rPr>
      </w:pPr>
      <w:r w:rsidRPr="0058188D">
        <w:rPr>
          <w:rFonts w:eastAsia="Times New Roman" w:cs="Times New Roman"/>
          <w:szCs w:val="28"/>
        </w:rPr>
        <w:t>Hiện nay Nghị định số 265/2025/NĐ-CP đã quy định nguyên tắc, phương thức và cơ chế khoán chi trong thực hiện nhiệm vụ khoa học, công nghệ và đổi mới sáng tạo. Tuy nhiên, nhiều nội dung thuộc thẩm quyền địa phương cần được cụ thể hóa để bảo đảm thống nhất trong tổ chức thực hiện, bao gồm:</w:t>
      </w:r>
    </w:p>
    <w:p w:rsidR="0058188D" w:rsidRPr="0058188D" w:rsidRDefault="00031D11" w:rsidP="00031D11">
      <w:pPr>
        <w:spacing w:after="0" w:line="288" w:lineRule="auto"/>
        <w:ind w:firstLine="360"/>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Phạm vi áp dụng đối với nhiệm vụ sử dụng ngân sách Thành phố;</w:t>
      </w:r>
    </w:p>
    <w:p w:rsidR="0058188D" w:rsidRPr="0058188D" w:rsidRDefault="00031D11" w:rsidP="00031D11">
      <w:pPr>
        <w:spacing w:after="0" w:line="288" w:lineRule="auto"/>
        <w:ind w:firstLine="360"/>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Trình tự lập, thẩm định, phê duyệt dự toán khoán;</w:t>
      </w:r>
    </w:p>
    <w:p w:rsidR="0058188D" w:rsidRPr="0058188D" w:rsidRDefault="00031D11" w:rsidP="00031D11">
      <w:pPr>
        <w:spacing w:after="0" w:line="288" w:lineRule="auto"/>
        <w:ind w:firstLine="360"/>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Cơ chế điều chỉnh dự toán;</w:t>
      </w:r>
    </w:p>
    <w:p w:rsidR="0058188D" w:rsidRPr="0058188D" w:rsidRDefault="00031D11" w:rsidP="00031D11">
      <w:pPr>
        <w:spacing w:after="0" w:line="288" w:lineRule="auto"/>
        <w:ind w:firstLine="360"/>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Quản lý kinh phí khoán còn dư;</w:t>
      </w:r>
    </w:p>
    <w:p w:rsidR="0058188D" w:rsidRPr="0058188D" w:rsidRDefault="00031D11" w:rsidP="00031D11">
      <w:pPr>
        <w:spacing w:after="0" w:line="288" w:lineRule="auto"/>
        <w:ind w:firstLine="360"/>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Trách nhiệm của các cơ quan thuộc Thành phố;</w:t>
      </w:r>
    </w:p>
    <w:p w:rsidR="0058188D" w:rsidRPr="0058188D" w:rsidRDefault="00031D11" w:rsidP="00031D11">
      <w:pPr>
        <w:spacing w:after="0" w:line="288" w:lineRule="auto"/>
        <w:ind w:firstLine="360"/>
        <w:jc w:val="both"/>
        <w:rPr>
          <w:rFonts w:eastAsia="Times New Roman" w:cs="Times New Roman"/>
          <w:szCs w:val="28"/>
        </w:rPr>
      </w:pPr>
      <w:r>
        <w:rPr>
          <w:rFonts w:eastAsia="Times New Roman" w:cs="Times New Roman"/>
          <w:szCs w:val="28"/>
        </w:rPr>
        <w:t xml:space="preserve">- </w:t>
      </w:r>
      <w:r w:rsidR="0058188D" w:rsidRPr="0058188D">
        <w:rPr>
          <w:rFonts w:eastAsia="Times New Roman" w:cs="Times New Roman"/>
          <w:szCs w:val="28"/>
        </w:rPr>
        <w:t>Cơ chế áp dụng đối với các nhiệm vụ trọng điểm của Thủ đô.</w:t>
      </w:r>
    </w:p>
    <w:p w:rsidR="0058188D" w:rsidRPr="0058188D" w:rsidRDefault="0058188D" w:rsidP="00031D11">
      <w:pPr>
        <w:spacing w:after="0" w:line="288" w:lineRule="auto"/>
        <w:ind w:firstLine="360"/>
        <w:jc w:val="both"/>
        <w:rPr>
          <w:rFonts w:eastAsia="Times New Roman" w:cs="Times New Roman"/>
          <w:szCs w:val="28"/>
        </w:rPr>
      </w:pPr>
      <w:r w:rsidRPr="0058188D">
        <w:rPr>
          <w:rFonts w:eastAsia="Times New Roman" w:cs="Times New Roman"/>
          <w:szCs w:val="28"/>
        </w:rPr>
        <w:t>Việc ban hành Quyết định là cần thiết nhằm tạo cơ sở pháp lý thống nhất trong quản lý và sử dụng ngân sách Thành phố cho hoạt động khoa học, công nghệ và đổi mới sáng tạo.</w:t>
      </w:r>
    </w:p>
    <w:p w:rsidR="0058188D" w:rsidRDefault="0058188D" w:rsidP="0058188D">
      <w:pPr>
        <w:spacing w:before="100" w:beforeAutospacing="1" w:after="100" w:afterAutospacing="1" w:line="240" w:lineRule="auto"/>
        <w:outlineLvl w:val="1"/>
        <w:rPr>
          <w:rFonts w:eastAsia="Times New Roman" w:cs="Times New Roman"/>
          <w:b/>
          <w:bCs/>
          <w:szCs w:val="28"/>
        </w:rPr>
      </w:pPr>
      <w:r w:rsidRPr="0058188D">
        <w:rPr>
          <w:rFonts w:eastAsia="Times New Roman" w:cs="Times New Roman"/>
          <w:b/>
          <w:bCs/>
          <w:szCs w:val="28"/>
        </w:rPr>
        <w:lastRenderedPageBreak/>
        <w:t>III. SO SÁNH NỘI DUNG DỰ THẢO VỚI QUY ĐỊNH HIỆN HÀNH</w:t>
      </w:r>
    </w:p>
    <w:tbl>
      <w:tblPr>
        <w:tblStyle w:val="TableGrid"/>
        <w:tblW w:w="0" w:type="auto"/>
        <w:tblLook w:val="04A0" w:firstRow="1" w:lastRow="0" w:firstColumn="1" w:lastColumn="0" w:noHBand="0" w:noVBand="1"/>
      </w:tblPr>
      <w:tblGrid>
        <w:gridCol w:w="4531"/>
        <w:gridCol w:w="4531"/>
      </w:tblGrid>
      <w:tr w:rsidR="00631E8A" w:rsidTr="005C2518">
        <w:trPr>
          <w:trHeight w:val="416"/>
          <w:tblHeader/>
        </w:trPr>
        <w:tc>
          <w:tcPr>
            <w:tcW w:w="4531" w:type="dxa"/>
            <w:vAlign w:val="center"/>
          </w:tcPr>
          <w:p w:rsidR="00631E8A" w:rsidRDefault="00631E8A" w:rsidP="00631E8A">
            <w:pPr>
              <w:spacing w:before="100" w:beforeAutospacing="1" w:after="100" w:afterAutospacing="1"/>
              <w:jc w:val="center"/>
              <w:outlineLvl w:val="1"/>
              <w:rPr>
                <w:rFonts w:eastAsia="Times New Roman" w:cs="Times New Roman"/>
                <w:b/>
                <w:bCs/>
                <w:szCs w:val="28"/>
              </w:rPr>
            </w:pPr>
            <w:r w:rsidRPr="0058188D">
              <w:rPr>
                <w:rFonts w:eastAsia="Times New Roman" w:cs="Times New Roman"/>
                <w:b/>
                <w:bCs/>
                <w:szCs w:val="28"/>
              </w:rPr>
              <w:t>Nội dung</w:t>
            </w:r>
          </w:p>
        </w:tc>
        <w:tc>
          <w:tcPr>
            <w:tcW w:w="4531" w:type="dxa"/>
            <w:vAlign w:val="center"/>
          </w:tcPr>
          <w:p w:rsidR="00631E8A" w:rsidRDefault="00631E8A" w:rsidP="00631E8A">
            <w:pPr>
              <w:spacing w:before="100" w:beforeAutospacing="1" w:after="100" w:afterAutospacing="1"/>
              <w:jc w:val="center"/>
              <w:outlineLvl w:val="1"/>
              <w:rPr>
                <w:rFonts w:eastAsia="Times New Roman" w:cs="Times New Roman"/>
                <w:b/>
                <w:bCs/>
                <w:szCs w:val="28"/>
              </w:rPr>
            </w:pPr>
            <w:r w:rsidRPr="0058188D">
              <w:rPr>
                <w:rFonts w:eastAsia="Times New Roman" w:cs="Times New Roman"/>
                <w:b/>
                <w:bCs/>
                <w:szCs w:val="28"/>
              </w:rPr>
              <w:t>Quy định hiện hành</w:t>
            </w:r>
          </w:p>
        </w:tc>
      </w:tr>
      <w:tr w:rsidR="00631E8A" w:rsidTr="005C2518">
        <w:trPr>
          <w:trHeight w:val="1364"/>
        </w:trPr>
        <w:tc>
          <w:tcPr>
            <w:tcW w:w="9062" w:type="dxa"/>
            <w:gridSpan w:val="2"/>
            <w:vAlign w:val="center"/>
          </w:tcPr>
          <w:p w:rsidR="00631E8A" w:rsidRPr="00031D11" w:rsidRDefault="00631E8A" w:rsidP="00031D11">
            <w:pPr>
              <w:spacing w:line="288" w:lineRule="auto"/>
              <w:rPr>
                <w:rFonts w:eastAsia="Times New Roman" w:cs="Times New Roman"/>
                <w:szCs w:val="28"/>
              </w:rPr>
            </w:pPr>
            <w:r w:rsidRPr="0058188D">
              <w:rPr>
                <w:rFonts w:eastAsia="Times New Roman" w:cs="Times New Roman"/>
                <w:b/>
                <w:bCs/>
                <w:szCs w:val="28"/>
              </w:rPr>
              <w:t>1. Về phương thức khoán chi</w:t>
            </w:r>
            <w:r w:rsidR="00031D11">
              <w:rPr>
                <w:rFonts w:eastAsia="Times New Roman" w:cs="Times New Roman"/>
                <w:b/>
                <w:bCs/>
                <w:szCs w:val="28"/>
              </w:rPr>
              <w:t xml:space="preserve">: </w:t>
            </w:r>
            <w:r w:rsidR="00031D11" w:rsidRPr="0058188D">
              <w:rPr>
                <w:rFonts w:eastAsia="Times New Roman" w:cs="Times New Roman"/>
                <w:szCs w:val="28"/>
              </w:rPr>
              <w:t>Dự thảo không đặt ra phương thức mới mà chỉ viện dẫn và cụ thể hóa việc áp dụng đối với nhiệm vụ sử dụng ngân sách Thành phố.</w:t>
            </w:r>
          </w:p>
        </w:tc>
      </w:tr>
      <w:tr w:rsidR="00631E8A" w:rsidTr="005C2518">
        <w:trPr>
          <w:trHeight w:val="1837"/>
        </w:trPr>
        <w:tc>
          <w:tcPr>
            <w:tcW w:w="4531" w:type="dxa"/>
            <w:vAlign w:val="center"/>
          </w:tcPr>
          <w:p w:rsidR="00631E8A" w:rsidRDefault="00631E8A" w:rsidP="00031D11">
            <w:pPr>
              <w:spacing w:line="288" w:lineRule="auto"/>
              <w:jc w:val="both"/>
              <w:outlineLvl w:val="1"/>
              <w:rPr>
                <w:rFonts w:eastAsia="Times New Roman" w:cs="Times New Roman"/>
                <w:b/>
                <w:bCs/>
                <w:szCs w:val="28"/>
              </w:rPr>
            </w:pPr>
            <w:r w:rsidRPr="0058188D">
              <w:rPr>
                <w:rFonts w:eastAsia="Times New Roman" w:cs="Times New Roman"/>
                <w:szCs w:val="28"/>
              </w:rPr>
              <w:t>Điều 5 dự thảo quy định 02 phương thức khoán chi: khoán chi đến sản phẩm cuối cùng và khoán chi từng phần theo nội dung nghiên cứu</w:t>
            </w:r>
          </w:p>
        </w:tc>
        <w:tc>
          <w:tcPr>
            <w:tcW w:w="4531" w:type="dxa"/>
            <w:vAlign w:val="center"/>
          </w:tcPr>
          <w:p w:rsidR="00631E8A" w:rsidRDefault="00631E8A" w:rsidP="00031D11">
            <w:pPr>
              <w:spacing w:line="288" w:lineRule="auto"/>
              <w:outlineLvl w:val="1"/>
              <w:rPr>
                <w:rFonts w:eastAsia="Times New Roman" w:cs="Times New Roman"/>
                <w:b/>
                <w:bCs/>
                <w:szCs w:val="28"/>
              </w:rPr>
            </w:pPr>
            <w:r w:rsidRPr="0058188D">
              <w:rPr>
                <w:rFonts w:eastAsia="Times New Roman" w:cs="Times New Roman"/>
                <w:szCs w:val="28"/>
              </w:rPr>
              <w:t>Khoản 1, khoản 2 Điều 10 Nghị định 265/2025/NĐ-CP đã quy định 02 phương thức khoán chi</w:t>
            </w:r>
          </w:p>
        </w:tc>
      </w:tr>
      <w:tr w:rsidR="00031D11" w:rsidTr="005C2518">
        <w:trPr>
          <w:trHeight w:val="1409"/>
        </w:trPr>
        <w:tc>
          <w:tcPr>
            <w:tcW w:w="9062" w:type="dxa"/>
            <w:gridSpan w:val="2"/>
            <w:vAlign w:val="center"/>
          </w:tcPr>
          <w:p w:rsidR="00031D11" w:rsidRDefault="00031D11" w:rsidP="00031D11">
            <w:pPr>
              <w:spacing w:line="288" w:lineRule="auto"/>
              <w:outlineLvl w:val="1"/>
              <w:rPr>
                <w:rFonts w:eastAsia="Times New Roman" w:cs="Times New Roman"/>
                <w:b/>
                <w:bCs/>
                <w:szCs w:val="28"/>
              </w:rPr>
            </w:pPr>
            <w:r w:rsidRPr="0058188D">
              <w:rPr>
                <w:rFonts w:eastAsia="Times New Roman" w:cs="Times New Roman"/>
                <w:b/>
                <w:bCs/>
                <w:szCs w:val="28"/>
              </w:rPr>
              <w:t>2. Về điều kiện áp dụng khoán chi</w:t>
            </w:r>
            <w:r>
              <w:rPr>
                <w:rFonts w:eastAsia="Times New Roman" w:cs="Times New Roman"/>
                <w:b/>
                <w:bCs/>
                <w:szCs w:val="28"/>
              </w:rPr>
              <w:t xml:space="preserve">: </w:t>
            </w:r>
            <w:r w:rsidRPr="0058188D">
              <w:rPr>
                <w:rFonts w:eastAsia="Times New Roman" w:cs="Times New Roman"/>
                <w:szCs w:val="28"/>
              </w:rPr>
              <w:t>Dự thảo bổ sung yêu cầu về mục tiêu, sản phẩm, tiến độ, năng lực tổ chức chủ trì và trách nhiệm giải trình nhằm bảo đảm khả năng quản lý của cơ quan nhà nước.</w:t>
            </w:r>
          </w:p>
        </w:tc>
      </w:tr>
      <w:tr w:rsidR="00631E8A" w:rsidTr="005C2518">
        <w:trPr>
          <w:trHeight w:val="1402"/>
        </w:trPr>
        <w:tc>
          <w:tcPr>
            <w:tcW w:w="4531" w:type="dxa"/>
            <w:vAlign w:val="center"/>
          </w:tcPr>
          <w:p w:rsidR="00631E8A" w:rsidRDefault="00031D11" w:rsidP="00031D11">
            <w:pPr>
              <w:spacing w:line="288" w:lineRule="auto"/>
              <w:jc w:val="both"/>
              <w:outlineLvl w:val="1"/>
              <w:rPr>
                <w:rFonts w:eastAsia="Times New Roman" w:cs="Times New Roman"/>
                <w:b/>
                <w:bCs/>
                <w:szCs w:val="28"/>
              </w:rPr>
            </w:pPr>
            <w:r w:rsidRPr="0058188D">
              <w:rPr>
                <w:rFonts w:eastAsia="Times New Roman" w:cs="Times New Roman"/>
                <w:szCs w:val="28"/>
              </w:rPr>
              <w:t>Điều 6 quy định điều kiện áp dụng khoán chi đối với nhiệm vụ KH,</w:t>
            </w:r>
            <w:r>
              <w:rPr>
                <w:rFonts w:eastAsia="Times New Roman" w:cs="Times New Roman"/>
                <w:szCs w:val="28"/>
              </w:rPr>
              <w:t xml:space="preserve"> </w:t>
            </w:r>
            <w:r w:rsidRPr="0058188D">
              <w:rPr>
                <w:rFonts w:eastAsia="Times New Roman" w:cs="Times New Roman"/>
                <w:szCs w:val="28"/>
              </w:rPr>
              <w:t>CN&amp;ĐMST</w:t>
            </w:r>
          </w:p>
        </w:tc>
        <w:tc>
          <w:tcPr>
            <w:tcW w:w="4531" w:type="dxa"/>
            <w:vAlign w:val="center"/>
          </w:tcPr>
          <w:p w:rsidR="00631E8A" w:rsidRDefault="00031D11" w:rsidP="00031D11">
            <w:pPr>
              <w:spacing w:line="288" w:lineRule="auto"/>
              <w:jc w:val="both"/>
              <w:outlineLvl w:val="1"/>
              <w:rPr>
                <w:rFonts w:eastAsia="Times New Roman" w:cs="Times New Roman"/>
                <w:b/>
                <w:bCs/>
                <w:szCs w:val="28"/>
              </w:rPr>
            </w:pPr>
            <w:r w:rsidRPr="0058188D">
              <w:rPr>
                <w:rFonts w:eastAsia="Times New Roman" w:cs="Times New Roman"/>
                <w:szCs w:val="28"/>
              </w:rPr>
              <w:t>Nghị định 265/2025/NĐ-CP quy định nguyên tắc chung về khoán chi</w:t>
            </w:r>
          </w:p>
        </w:tc>
      </w:tr>
      <w:tr w:rsidR="00031D11" w:rsidTr="005C2518">
        <w:trPr>
          <w:trHeight w:val="1833"/>
        </w:trPr>
        <w:tc>
          <w:tcPr>
            <w:tcW w:w="9062" w:type="dxa"/>
            <w:gridSpan w:val="2"/>
            <w:vAlign w:val="center"/>
          </w:tcPr>
          <w:p w:rsidR="00031D11" w:rsidRPr="00031D11" w:rsidRDefault="00031D11" w:rsidP="00031D11">
            <w:pPr>
              <w:spacing w:line="288" w:lineRule="auto"/>
              <w:rPr>
                <w:rFonts w:eastAsia="Times New Roman" w:cs="Times New Roman"/>
                <w:szCs w:val="28"/>
              </w:rPr>
            </w:pPr>
            <w:r w:rsidRPr="0058188D">
              <w:rPr>
                <w:rFonts w:eastAsia="Times New Roman" w:cs="Times New Roman"/>
                <w:b/>
                <w:bCs/>
                <w:szCs w:val="28"/>
              </w:rPr>
              <w:t>3. Về hệ số điều chỉnh k</w:t>
            </w:r>
            <w:r>
              <w:rPr>
                <w:rFonts w:eastAsia="Times New Roman" w:cs="Times New Roman"/>
                <w:b/>
                <w:bCs/>
                <w:szCs w:val="28"/>
              </w:rPr>
              <w:t xml:space="preserve">: </w:t>
            </w:r>
            <w:r w:rsidRPr="0058188D">
              <w:rPr>
                <w:rFonts w:eastAsia="Times New Roman" w:cs="Times New Roman"/>
                <w:szCs w:val="28"/>
              </w:rPr>
              <w:t>Đây là nội dung cụ thể hóa cơ chế đặc thù của Thủ đô nhằm tạo điều kiện thực hiện các nhiệm vụ có tính đột phá, tác động lớn đến phát triển kinh tế - xã hội Thành phố. Việc áp dụng hệ số k được thực hiện trên cơ sở tiêu chí do cơ quan có thẩm quyền quy định.</w:t>
            </w:r>
          </w:p>
        </w:tc>
      </w:tr>
      <w:tr w:rsidR="00031D11" w:rsidTr="005C2518">
        <w:trPr>
          <w:trHeight w:val="1547"/>
        </w:trPr>
        <w:tc>
          <w:tcPr>
            <w:tcW w:w="4531" w:type="dxa"/>
            <w:vAlign w:val="center"/>
          </w:tcPr>
          <w:p w:rsidR="00031D11" w:rsidRDefault="00031D11" w:rsidP="00031D11">
            <w:pPr>
              <w:spacing w:line="288" w:lineRule="auto"/>
              <w:jc w:val="both"/>
              <w:outlineLvl w:val="1"/>
              <w:rPr>
                <w:rFonts w:eastAsia="Times New Roman" w:cs="Times New Roman"/>
                <w:b/>
                <w:bCs/>
                <w:szCs w:val="28"/>
              </w:rPr>
            </w:pPr>
            <w:r w:rsidRPr="0058188D">
              <w:rPr>
                <w:rFonts w:eastAsia="Times New Roman" w:cs="Times New Roman"/>
                <w:szCs w:val="28"/>
              </w:rPr>
              <w:t>Điều 9 cho phép áp dụng hệ số k đối với nhiệm vụ trọng điểm của Thủ đô hoặc nhiệm vụ có yêu cầu đặc biệt</w:t>
            </w:r>
          </w:p>
        </w:tc>
        <w:tc>
          <w:tcPr>
            <w:tcW w:w="4531" w:type="dxa"/>
            <w:vAlign w:val="center"/>
          </w:tcPr>
          <w:p w:rsidR="00031D11" w:rsidRPr="0058188D" w:rsidRDefault="00031D11" w:rsidP="00031D11">
            <w:pPr>
              <w:spacing w:line="288" w:lineRule="auto"/>
              <w:rPr>
                <w:rFonts w:eastAsia="Times New Roman" w:cs="Times New Roman"/>
                <w:szCs w:val="28"/>
              </w:rPr>
            </w:pPr>
            <w:r w:rsidRPr="0058188D">
              <w:rPr>
                <w:rFonts w:eastAsia="Times New Roman" w:cs="Times New Roman"/>
                <w:szCs w:val="28"/>
              </w:rPr>
              <w:t>Chưa có quy định cụ thể tại Nghị định 265/2025/NĐ-CP</w:t>
            </w:r>
          </w:p>
        </w:tc>
      </w:tr>
      <w:tr w:rsidR="00031D11" w:rsidTr="005C2518">
        <w:trPr>
          <w:trHeight w:val="1414"/>
        </w:trPr>
        <w:tc>
          <w:tcPr>
            <w:tcW w:w="9062" w:type="dxa"/>
            <w:gridSpan w:val="2"/>
            <w:vAlign w:val="center"/>
          </w:tcPr>
          <w:p w:rsidR="00031D11" w:rsidRPr="00031D11" w:rsidRDefault="00031D11" w:rsidP="00031D11">
            <w:pPr>
              <w:spacing w:line="288" w:lineRule="auto"/>
              <w:rPr>
                <w:rFonts w:eastAsia="Times New Roman" w:cs="Times New Roman"/>
                <w:szCs w:val="28"/>
              </w:rPr>
            </w:pPr>
            <w:r w:rsidRPr="0058188D">
              <w:rPr>
                <w:rFonts w:eastAsia="Times New Roman" w:cs="Times New Roman"/>
                <w:b/>
                <w:bCs/>
                <w:szCs w:val="28"/>
              </w:rPr>
              <w:t>4. Về quyền chủ động điều chỉnh cơ cấu chi</w:t>
            </w:r>
            <w:r>
              <w:rPr>
                <w:rFonts w:eastAsia="Times New Roman" w:cs="Times New Roman"/>
                <w:b/>
                <w:bCs/>
                <w:szCs w:val="28"/>
              </w:rPr>
              <w:t xml:space="preserve">: </w:t>
            </w:r>
            <w:r w:rsidRPr="0058188D">
              <w:rPr>
                <w:rFonts w:eastAsia="Times New Roman" w:cs="Times New Roman"/>
                <w:szCs w:val="28"/>
              </w:rPr>
              <w:t>Quy định nhằm tăng quyền tự chủ cho tổ chức chủ trì nhưng vẫn bảo đảm không làm thay đổi mục tiêu, sản phẩm, chất lượng và tổng kinh phí được phê duyệt.</w:t>
            </w:r>
          </w:p>
        </w:tc>
      </w:tr>
      <w:tr w:rsidR="00031D11" w:rsidTr="005C2518">
        <w:trPr>
          <w:trHeight w:val="1405"/>
        </w:trPr>
        <w:tc>
          <w:tcPr>
            <w:tcW w:w="4531" w:type="dxa"/>
            <w:vAlign w:val="center"/>
          </w:tcPr>
          <w:p w:rsidR="00031D11" w:rsidRPr="0058188D" w:rsidRDefault="00031D11" w:rsidP="00031D11">
            <w:pPr>
              <w:spacing w:line="288" w:lineRule="auto"/>
              <w:jc w:val="both"/>
              <w:outlineLvl w:val="1"/>
              <w:rPr>
                <w:rFonts w:eastAsia="Times New Roman" w:cs="Times New Roman"/>
                <w:b/>
                <w:bCs/>
                <w:szCs w:val="28"/>
              </w:rPr>
            </w:pPr>
            <w:r w:rsidRPr="0058188D">
              <w:rPr>
                <w:rFonts w:eastAsia="Times New Roman" w:cs="Times New Roman"/>
                <w:szCs w:val="28"/>
              </w:rPr>
              <w:t>Điều 11 cho phép tổ chức chủ trì chủ động điều chỉnh cơ cấu các khoản chi trong phạm vi kinh phí được giao</w:t>
            </w:r>
          </w:p>
        </w:tc>
        <w:tc>
          <w:tcPr>
            <w:tcW w:w="4531" w:type="dxa"/>
            <w:vAlign w:val="center"/>
          </w:tcPr>
          <w:p w:rsidR="00031D11" w:rsidRDefault="00031D11" w:rsidP="00031D11">
            <w:pPr>
              <w:spacing w:line="288" w:lineRule="auto"/>
              <w:jc w:val="both"/>
              <w:outlineLvl w:val="1"/>
              <w:rPr>
                <w:rFonts w:eastAsia="Times New Roman" w:cs="Times New Roman"/>
                <w:b/>
                <w:bCs/>
                <w:szCs w:val="28"/>
              </w:rPr>
            </w:pPr>
            <w:r w:rsidRPr="0058188D">
              <w:rPr>
                <w:rFonts w:eastAsia="Times New Roman" w:cs="Times New Roman"/>
                <w:szCs w:val="28"/>
              </w:rPr>
              <w:t>Nghị định 265/2025/NĐ-CP quy định nguyên tắc giao quyền tự chủ trong sử dụng kinh phí khoán</w:t>
            </w:r>
          </w:p>
        </w:tc>
      </w:tr>
      <w:tr w:rsidR="00031D11" w:rsidTr="005C2518">
        <w:tc>
          <w:tcPr>
            <w:tcW w:w="9062" w:type="dxa"/>
            <w:gridSpan w:val="2"/>
            <w:vAlign w:val="center"/>
          </w:tcPr>
          <w:p w:rsidR="00031D11" w:rsidRPr="00031D11" w:rsidRDefault="00031D11" w:rsidP="00031D11">
            <w:pPr>
              <w:spacing w:line="288" w:lineRule="auto"/>
              <w:rPr>
                <w:rFonts w:eastAsia="Times New Roman" w:cs="Times New Roman"/>
                <w:szCs w:val="28"/>
              </w:rPr>
            </w:pPr>
            <w:r w:rsidRPr="0058188D">
              <w:rPr>
                <w:rFonts w:eastAsia="Times New Roman" w:cs="Times New Roman"/>
                <w:b/>
                <w:bCs/>
                <w:szCs w:val="28"/>
              </w:rPr>
              <w:t>5. Về quyết toán kinh phí khoán</w:t>
            </w:r>
            <w:r>
              <w:rPr>
                <w:rFonts w:eastAsia="Times New Roman" w:cs="Times New Roman"/>
                <w:b/>
                <w:bCs/>
                <w:szCs w:val="28"/>
              </w:rPr>
              <w:t xml:space="preserve">: </w:t>
            </w:r>
            <w:r w:rsidRPr="0058188D">
              <w:rPr>
                <w:rFonts w:eastAsia="Times New Roman" w:cs="Times New Roman"/>
                <w:szCs w:val="28"/>
              </w:rPr>
              <w:t>Dự thảo cụ thể hóa hồ sơ, trình tự quyết toán đối với nhiệm vụ sử dụng ngân sách Thành phố; không làm phát sinh thủ tục hành chính mới.</w:t>
            </w:r>
          </w:p>
        </w:tc>
      </w:tr>
      <w:tr w:rsidR="00031D11" w:rsidTr="005C2518">
        <w:trPr>
          <w:trHeight w:val="1412"/>
        </w:trPr>
        <w:tc>
          <w:tcPr>
            <w:tcW w:w="4531" w:type="dxa"/>
            <w:vAlign w:val="center"/>
          </w:tcPr>
          <w:p w:rsidR="00031D11" w:rsidRPr="0058188D" w:rsidRDefault="00031D11" w:rsidP="00031D11">
            <w:pPr>
              <w:spacing w:line="288" w:lineRule="auto"/>
              <w:jc w:val="both"/>
              <w:outlineLvl w:val="1"/>
              <w:rPr>
                <w:rFonts w:eastAsia="Times New Roman" w:cs="Times New Roman"/>
                <w:b/>
                <w:bCs/>
                <w:szCs w:val="28"/>
              </w:rPr>
            </w:pPr>
            <w:r w:rsidRPr="0058188D">
              <w:rPr>
                <w:rFonts w:eastAsia="Times New Roman" w:cs="Times New Roman"/>
                <w:szCs w:val="28"/>
              </w:rPr>
              <w:lastRenderedPageBreak/>
              <w:t>Điều 14 quy định quyết toán theo kết quả thực hiện nhiệm vụ</w:t>
            </w:r>
          </w:p>
        </w:tc>
        <w:tc>
          <w:tcPr>
            <w:tcW w:w="4531" w:type="dxa"/>
            <w:vAlign w:val="center"/>
          </w:tcPr>
          <w:p w:rsidR="00031D11" w:rsidRDefault="00031D11" w:rsidP="00031D11">
            <w:pPr>
              <w:spacing w:line="288" w:lineRule="auto"/>
              <w:outlineLvl w:val="1"/>
              <w:rPr>
                <w:rFonts w:eastAsia="Times New Roman" w:cs="Times New Roman"/>
                <w:b/>
                <w:bCs/>
                <w:szCs w:val="28"/>
              </w:rPr>
            </w:pPr>
            <w:r w:rsidRPr="0058188D">
              <w:rPr>
                <w:rFonts w:eastAsia="Times New Roman" w:cs="Times New Roman"/>
                <w:szCs w:val="28"/>
              </w:rPr>
              <w:t>Khoản 5 Điều 10 Nghị định 265/2025/NĐ-CP; Điều 41 Thông tư 39/2025/TT-BKHCN</w:t>
            </w:r>
          </w:p>
        </w:tc>
      </w:tr>
      <w:tr w:rsidR="00031D11" w:rsidTr="005C2518">
        <w:trPr>
          <w:trHeight w:val="1829"/>
        </w:trPr>
        <w:tc>
          <w:tcPr>
            <w:tcW w:w="9062" w:type="dxa"/>
            <w:gridSpan w:val="2"/>
            <w:vAlign w:val="center"/>
          </w:tcPr>
          <w:p w:rsidR="00031D11" w:rsidRPr="00031D11" w:rsidRDefault="00031D11" w:rsidP="00031D11">
            <w:pPr>
              <w:spacing w:line="288" w:lineRule="auto"/>
              <w:rPr>
                <w:rFonts w:eastAsia="Times New Roman" w:cs="Times New Roman"/>
                <w:szCs w:val="28"/>
              </w:rPr>
            </w:pPr>
            <w:r w:rsidRPr="0058188D">
              <w:rPr>
                <w:rFonts w:eastAsia="Times New Roman" w:cs="Times New Roman"/>
                <w:b/>
                <w:bCs/>
                <w:szCs w:val="28"/>
              </w:rPr>
              <w:t>6. Về quản lý kinh phí khoán còn dư</w:t>
            </w:r>
            <w:r>
              <w:rPr>
                <w:rFonts w:eastAsia="Times New Roman" w:cs="Times New Roman"/>
                <w:b/>
                <w:bCs/>
                <w:szCs w:val="28"/>
              </w:rPr>
              <w:t xml:space="preserve">: </w:t>
            </w:r>
            <w:r w:rsidRPr="0058188D">
              <w:rPr>
                <w:rFonts w:eastAsia="Times New Roman" w:cs="Times New Roman"/>
                <w:szCs w:val="28"/>
              </w:rPr>
              <w:t>Dự thảo quy định nguyên tắc sử dụng kinh phí khoán còn dư phục vụ hoạt động khoa học, công nghệ và đổi mới sáng tạo nhằm khuyến khích tiết kiệm và nâng cao hiệu quả sử dụng ngân sách.</w:t>
            </w:r>
          </w:p>
        </w:tc>
      </w:tr>
      <w:tr w:rsidR="00031D11" w:rsidTr="005C2518">
        <w:trPr>
          <w:trHeight w:val="1401"/>
        </w:trPr>
        <w:tc>
          <w:tcPr>
            <w:tcW w:w="4531" w:type="dxa"/>
            <w:vAlign w:val="center"/>
          </w:tcPr>
          <w:p w:rsidR="00031D11" w:rsidRPr="0058188D" w:rsidRDefault="00031D11" w:rsidP="00031D11">
            <w:pPr>
              <w:spacing w:line="288" w:lineRule="auto"/>
              <w:jc w:val="both"/>
              <w:outlineLvl w:val="1"/>
              <w:rPr>
                <w:rFonts w:eastAsia="Times New Roman" w:cs="Times New Roman"/>
                <w:b/>
                <w:bCs/>
                <w:szCs w:val="28"/>
              </w:rPr>
            </w:pPr>
            <w:r w:rsidRPr="0058188D">
              <w:rPr>
                <w:rFonts w:eastAsia="Times New Roman" w:cs="Times New Roman"/>
                <w:szCs w:val="28"/>
              </w:rPr>
              <w:t>Điều 15 quy định nguyên tắc quản lý và sử dụng kinh phí khoán còn dư</w:t>
            </w:r>
          </w:p>
        </w:tc>
        <w:tc>
          <w:tcPr>
            <w:tcW w:w="4531" w:type="dxa"/>
            <w:vAlign w:val="center"/>
          </w:tcPr>
          <w:p w:rsidR="00031D11" w:rsidRDefault="00031D11" w:rsidP="00031D11">
            <w:pPr>
              <w:spacing w:line="288" w:lineRule="auto"/>
              <w:jc w:val="both"/>
              <w:outlineLvl w:val="1"/>
              <w:rPr>
                <w:rFonts w:eastAsia="Times New Roman" w:cs="Times New Roman"/>
                <w:b/>
                <w:bCs/>
                <w:szCs w:val="28"/>
              </w:rPr>
            </w:pPr>
            <w:r w:rsidRPr="0058188D">
              <w:rPr>
                <w:rFonts w:eastAsia="Times New Roman" w:cs="Times New Roman"/>
                <w:szCs w:val="28"/>
              </w:rPr>
              <w:t>Nghị quyết của HĐND Thành phố giao UBND Thành phố hướng dẫn thực hiện</w:t>
            </w:r>
          </w:p>
        </w:tc>
      </w:tr>
      <w:tr w:rsidR="00031D11" w:rsidTr="005C2518">
        <w:trPr>
          <w:trHeight w:val="1421"/>
        </w:trPr>
        <w:tc>
          <w:tcPr>
            <w:tcW w:w="9062" w:type="dxa"/>
            <w:gridSpan w:val="2"/>
            <w:vAlign w:val="center"/>
          </w:tcPr>
          <w:p w:rsidR="00031D11" w:rsidRPr="00031D11" w:rsidRDefault="00031D11" w:rsidP="00031D11">
            <w:pPr>
              <w:spacing w:line="288" w:lineRule="auto"/>
              <w:rPr>
                <w:rFonts w:eastAsia="Times New Roman" w:cs="Times New Roman"/>
                <w:szCs w:val="28"/>
              </w:rPr>
            </w:pPr>
            <w:r w:rsidRPr="0058188D">
              <w:rPr>
                <w:rFonts w:eastAsia="Times New Roman" w:cs="Times New Roman"/>
                <w:b/>
                <w:bCs/>
                <w:szCs w:val="28"/>
              </w:rPr>
              <w:t>7. Về quản trị rủi ro và chấp nhận rủi ro</w:t>
            </w:r>
            <w:r>
              <w:rPr>
                <w:rFonts w:eastAsia="Times New Roman" w:cs="Times New Roman"/>
                <w:b/>
                <w:bCs/>
                <w:szCs w:val="28"/>
              </w:rPr>
              <w:t xml:space="preserve">: </w:t>
            </w:r>
            <w:r w:rsidRPr="0058188D">
              <w:rPr>
                <w:rFonts w:eastAsia="Times New Roman" w:cs="Times New Roman"/>
                <w:szCs w:val="28"/>
              </w:rPr>
              <w:t>Dự thảo cụ thể hóa trách nhiệm của cơ quan quản lý và tổ chức chủ trì trong việc quản trị rủi ro đối với nhiệm vụ sử dụng ngân sách Thành phố.</w:t>
            </w:r>
          </w:p>
        </w:tc>
      </w:tr>
      <w:tr w:rsidR="00031D11" w:rsidTr="005C2518">
        <w:trPr>
          <w:trHeight w:val="1400"/>
        </w:trPr>
        <w:tc>
          <w:tcPr>
            <w:tcW w:w="4531" w:type="dxa"/>
            <w:vAlign w:val="center"/>
          </w:tcPr>
          <w:p w:rsidR="00031D11" w:rsidRPr="0058188D" w:rsidRDefault="00031D11" w:rsidP="00031D11">
            <w:pPr>
              <w:spacing w:line="288" w:lineRule="auto"/>
              <w:jc w:val="both"/>
              <w:outlineLvl w:val="1"/>
              <w:rPr>
                <w:rFonts w:eastAsia="Times New Roman" w:cs="Times New Roman"/>
                <w:b/>
                <w:bCs/>
                <w:szCs w:val="28"/>
              </w:rPr>
            </w:pPr>
            <w:r w:rsidRPr="0058188D">
              <w:rPr>
                <w:rFonts w:eastAsia="Times New Roman" w:cs="Times New Roman"/>
                <w:szCs w:val="28"/>
              </w:rPr>
              <w:t>Điều 19 quy định nhận diện, quản trị và chấp nhận rủi ro trong nghiên cứu khoa học và đổi mới sáng tạo</w:t>
            </w:r>
          </w:p>
        </w:tc>
        <w:tc>
          <w:tcPr>
            <w:tcW w:w="4531" w:type="dxa"/>
            <w:vAlign w:val="center"/>
          </w:tcPr>
          <w:p w:rsidR="00031D11" w:rsidRPr="0058188D" w:rsidRDefault="00031D11" w:rsidP="00031D11">
            <w:pPr>
              <w:spacing w:line="288" w:lineRule="auto"/>
              <w:rPr>
                <w:rFonts w:eastAsia="Times New Roman" w:cs="Times New Roman"/>
                <w:szCs w:val="28"/>
              </w:rPr>
            </w:pPr>
            <w:r w:rsidRPr="0058188D">
              <w:rPr>
                <w:rFonts w:eastAsia="Times New Roman" w:cs="Times New Roman"/>
                <w:szCs w:val="28"/>
              </w:rPr>
              <w:t>Điều 37 và Điều 38 Nghị định 267/2025/NĐ-CP</w:t>
            </w:r>
          </w:p>
        </w:tc>
      </w:tr>
    </w:tbl>
    <w:p w:rsidR="0058188D" w:rsidRPr="0058188D" w:rsidRDefault="0058188D" w:rsidP="005C2518">
      <w:pPr>
        <w:spacing w:before="120" w:after="0" w:line="288" w:lineRule="auto"/>
        <w:jc w:val="both"/>
        <w:outlineLvl w:val="1"/>
        <w:rPr>
          <w:rFonts w:eastAsia="Times New Roman" w:cs="Times New Roman"/>
          <w:b/>
          <w:bCs/>
          <w:szCs w:val="28"/>
        </w:rPr>
      </w:pPr>
      <w:r w:rsidRPr="0058188D">
        <w:rPr>
          <w:rFonts w:eastAsia="Times New Roman" w:cs="Times New Roman"/>
          <w:b/>
          <w:bCs/>
          <w:szCs w:val="28"/>
        </w:rPr>
        <w:t>IV. ĐÁNH GIÁ TÁC ĐỘNG</w:t>
      </w:r>
    </w:p>
    <w:p w:rsidR="0058188D" w:rsidRPr="0058188D" w:rsidRDefault="00031D11" w:rsidP="005C2518">
      <w:pPr>
        <w:spacing w:before="120" w:after="0" w:line="288" w:lineRule="auto"/>
        <w:ind w:firstLine="360"/>
        <w:jc w:val="both"/>
        <w:rPr>
          <w:rFonts w:eastAsia="Times New Roman" w:cs="Times New Roman"/>
          <w:szCs w:val="28"/>
        </w:rPr>
      </w:pPr>
      <w:r>
        <w:rPr>
          <w:rFonts w:eastAsia="Times New Roman" w:cs="Times New Roman"/>
          <w:szCs w:val="28"/>
        </w:rPr>
        <w:t xml:space="preserve">1. </w:t>
      </w:r>
      <w:r w:rsidR="0058188D" w:rsidRPr="0058188D">
        <w:rPr>
          <w:rFonts w:eastAsia="Times New Roman" w:cs="Times New Roman"/>
          <w:szCs w:val="28"/>
        </w:rPr>
        <w:t>Không làm phát sinh thủ tục hành chính mới.</w:t>
      </w:r>
    </w:p>
    <w:p w:rsidR="0058188D" w:rsidRPr="0058188D" w:rsidRDefault="00031D11" w:rsidP="005C2518">
      <w:pPr>
        <w:spacing w:before="120" w:after="0" w:line="288" w:lineRule="auto"/>
        <w:ind w:firstLine="360"/>
        <w:jc w:val="both"/>
        <w:rPr>
          <w:rFonts w:eastAsia="Times New Roman" w:cs="Times New Roman"/>
          <w:szCs w:val="28"/>
        </w:rPr>
      </w:pPr>
      <w:r>
        <w:rPr>
          <w:rFonts w:eastAsia="Times New Roman" w:cs="Times New Roman"/>
          <w:szCs w:val="28"/>
        </w:rPr>
        <w:t xml:space="preserve">2. </w:t>
      </w:r>
      <w:r w:rsidR="0058188D" w:rsidRPr="0058188D">
        <w:rPr>
          <w:rFonts w:eastAsia="Times New Roman" w:cs="Times New Roman"/>
          <w:szCs w:val="28"/>
        </w:rPr>
        <w:t>Không làm tăng chi ngân sách nhà nước.</w:t>
      </w:r>
    </w:p>
    <w:p w:rsidR="0058188D" w:rsidRPr="0058188D" w:rsidRDefault="00031D11" w:rsidP="005C2518">
      <w:pPr>
        <w:spacing w:before="120" w:after="0" w:line="288" w:lineRule="auto"/>
        <w:ind w:firstLine="360"/>
        <w:jc w:val="both"/>
        <w:rPr>
          <w:rFonts w:eastAsia="Times New Roman" w:cs="Times New Roman"/>
          <w:szCs w:val="28"/>
        </w:rPr>
      </w:pPr>
      <w:r>
        <w:rPr>
          <w:rFonts w:eastAsia="Times New Roman" w:cs="Times New Roman"/>
          <w:szCs w:val="28"/>
        </w:rPr>
        <w:t xml:space="preserve">3. </w:t>
      </w:r>
      <w:r w:rsidR="0058188D" w:rsidRPr="0058188D">
        <w:rPr>
          <w:rFonts w:eastAsia="Times New Roman" w:cs="Times New Roman"/>
          <w:szCs w:val="28"/>
        </w:rPr>
        <w:t>Tăng tính chủ động của tổ chức chủ trì, chủ nhiệm nhiệm vụ.</w:t>
      </w:r>
    </w:p>
    <w:p w:rsidR="0058188D" w:rsidRPr="0058188D" w:rsidRDefault="00031D11" w:rsidP="005C2518">
      <w:pPr>
        <w:spacing w:before="120" w:after="0" w:line="288" w:lineRule="auto"/>
        <w:ind w:firstLine="360"/>
        <w:jc w:val="both"/>
        <w:rPr>
          <w:rFonts w:eastAsia="Times New Roman" w:cs="Times New Roman"/>
          <w:szCs w:val="28"/>
        </w:rPr>
      </w:pPr>
      <w:r>
        <w:rPr>
          <w:rFonts w:eastAsia="Times New Roman" w:cs="Times New Roman"/>
          <w:szCs w:val="28"/>
        </w:rPr>
        <w:t xml:space="preserve">4. </w:t>
      </w:r>
      <w:r w:rsidR="0058188D" w:rsidRPr="0058188D">
        <w:rPr>
          <w:rFonts w:eastAsia="Times New Roman" w:cs="Times New Roman"/>
          <w:szCs w:val="28"/>
        </w:rPr>
        <w:t>Nâng cao hiệu quả sử dụng ngân sách và chất lượng sản phẩm khoa học, công nghệ và đổi mới sáng tạo.</w:t>
      </w:r>
    </w:p>
    <w:p w:rsidR="0058188D" w:rsidRPr="0058188D" w:rsidRDefault="00031D11" w:rsidP="005C2518">
      <w:pPr>
        <w:spacing w:before="120" w:after="0" w:line="288" w:lineRule="auto"/>
        <w:ind w:firstLine="360"/>
        <w:jc w:val="both"/>
        <w:rPr>
          <w:rFonts w:eastAsia="Times New Roman" w:cs="Times New Roman"/>
          <w:szCs w:val="28"/>
        </w:rPr>
      </w:pPr>
      <w:r>
        <w:rPr>
          <w:rFonts w:eastAsia="Times New Roman" w:cs="Times New Roman"/>
          <w:szCs w:val="28"/>
        </w:rPr>
        <w:t xml:space="preserve">5. </w:t>
      </w:r>
      <w:r w:rsidR="0058188D" w:rsidRPr="0058188D">
        <w:rPr>
          <w:rFonts w:eastAsia="Times New Roman" w:cs="Times New Roman"/>
          <w:szCs w:val="28"/>
        </w:rPr>
        <w:t>Góp phần thực hiện các cơ chế, chính sách đặc thù của Thủ đô trong phát triển khoa học, công nghệ và đổi mới sáng tạo.</w:t>
      </w:r>
    </w:p>
    <w:p w:rsidR="0058188D" w:rsidRPr="0058188D" w:rsidRDefault="0058188D" w:rsidP="005C2518">
      <w:pPr>
        <w:spacing w:before="120" w:after="0" w:line="288" w:lineRule="auto"/>
        <w:jc w:val="both"/>
        <w:outlineLvl w:val="1"/>
        <w:rPr>
          <w:rFonts w:eastAsia="Times New Roman" w:cs="Times New Roman"/>
          <w:b/>
          <w:bCs/>
          <w:szCs w:val="28"/>
        </w:rPr>
      </w:pPr>
      <w:r w:rsidRPr="0058188D">
        <w:rPr>
          <w:rFonts w:eastAsia="Times New Roman" w:cs="Times New Roman"/>
          <w:b/>
          <w:bCs/>
          <w:szCs w:val="28"/>
        </w:rPr>
        <w:t>V. KIẾN NGHỊ</w:t>
      </w:r>
    </w:p>
    <w:p w:rsidR="0058188D" w:rsidRPr="0058188D" w:rsidRDefault="0058188D" w:rsidP="005C2518">
      <w:pPr>
        <w:spacing w:before="120" w:after="0" w:line="288" w:lineRule="auto"/>
        <w:ind w:firstLine="567"/>
        <w:jc w:val="both"/>
        <w:rPr>
          <w:rFonts w:eastAsia="Times New Roman" w:cs="Times New Roman"/>
          <w:szCs w:val="28"/>
        </w:rPr>
      </w:pPr>
      <w:r w:rsidRPr="0058188D">
        <w:rPr>
          <w:rFonts w:eastAsia="Times New Roman" w:cs="Times New Roman"/>
          <w:szCs w:val="28"/>
        </w:rPr>
        <w:t>Đề nghị Ủy ban nhân dân thành phố Hà Nội xem xét, ban hành Quyết định quy định khoán chi trong thực hiện nhiệm vụ khoa học, công nghệ và đổi mới sáng tạo có sử dụng ngân sách thành phố Hà Nội.</w:t>
      </w:r>
    </w:p>
    <w:p w:rsidR="00F33841" w:rsidRPr="00631E8A" w:rsidRDefault="00D21A85" w:rsidP="00D21A85">
      <w:pPr>
        <w:spacing w:before="240"/>
        <w:ind w:left="3600" w:firstLine="720"/>
        <w:rPr>
          <w:rFonts w:cs="Times New Roman"/>
          <w:szCs w:val="28"/>
        </w:rPr>
      </w:pPr>
      <w:r w:rsidRPr="00AF6951">
        <w:rPr>
          <w:rFonts w:cs="Times New Roman"/>
          <w:b/>
          <w:szCs w:val="28"/>
        </w:rPr>
        <w:t>SỞ KHOA HỌC VÀ CÔNG NGHỆ</w:t>
      </w:r>
    </w:p>
    <w:sectPr w:rsidR="00F33841" w:rsidRPr="00631E8A" w:rsidSect="00D21A85">
      <w:pgSz w:w="11907" w:h="16840" w:code="9"/>
      <w:pgMar w:top="993"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90980"/>
    <w:multiLevelType w:val="multilevel"/>
    <w:tmpl w:val="6896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C16CF"/>
    <w:multiLevelType w:val="multilevel"/>
    <w:tmpl w:val="80B4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2696A"/>
    <w:multiLevelType w:val="multilevel"/>
    <w:tmpl w:val="B47C9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091AAE"/>
    <w:multiLevelType w:val="multilevel"/>
    <w:tmpl w:val="86C6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8D"/>
    <w:rsid w:val="00031D11"/>
    <w:rsid w:val="00055EF4"/>
    <w:rsid w:val="001334E9"/>
    <w:rsid w:val="002903C3"/>
    <w:rsid w:val="00384117"/>
    <w:rsid w:val="0058188D"/>
    <w:rsid w:val="005C2518"/>
    <w:rsid w:val="00631E8A"/>
    <w:rsid w:val="00D21A85"/>
    <w:rsid w:val="00E43FB0"/>
    <w:rsid w:val="00F3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E2FF8-FC1F-4268-9A29-299BD433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3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Huyen</dc:creator>
  <cp:keywords/>
  <dc:description/>
  <cp:lastModifiedBy>NEW</cp:lastModifiedBy>
  <cp:revision>2</cp:revision>
  <dcterms:created xsi:type="dcterms:W3CDTF">2026-06-05T07:52:00Z</dcterms:created>
  <dcterms:modified xsi:type="dcterms:W3CDTF">2026-06-05T07:52:00Z</dcterms:modified>
</cp:coreProperties>
</file>